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Численность обучающихся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на 18.</w:t>
      </w:r>
      <w:r>
        <w:rPr>
          <w:rFonts w:ascii="Times New Roman" w:hAnsi="Times New Roman" w:cs="Times New Roman"/>
          <w:b/>
          <w:sz w:val="36"/>
          <w:szCs w:val="36"/>
        </w:rPr>
        <w:t xml:space="preserve">11.2024</w:t>
      </w:r>
      <w:r>
        <w:rPr>
          <w:rFonts w:ascii="Times New Roman" w:hAnsi="Times New Roman" w:cs="Times New Roman"/>
          <w:b/>
          <w:sz w:val="36"/>
          <w:szCs w:val="36"/>
        </w:rPr>
        <w:t xml:space="preserve">г.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tbl>
      <w:tblPr>
        <w:tblStyle w:val="835"/>
        <w:tblW w:w="177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5"/>
        <w:gridCol w:w="2906"/>
        <w:gridCol w:w="1630"/>
        <w:gridCol w:w="1556"/>
        <w:gridCol w:w="1411"/>
        <w:gridCol w:w="1556"/>
        <w:gridCol w:w="1251"/>
        <w:gridCol w:w="1556"/>
        <w:gridCol w:w="1594"/>
        <w:gridCol w:w="1585"/>
        <w:gridCol w:w="1556"/>
      </w:tblGrid>
      <w:tr>
        <w:tblPrEx/>
        <w:trPr>
          <w:gridAfter w:val="1"/>
        </w:trPr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профессии/специальности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ассигнований федерального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иностранные граждане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бюджета субъектов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иностранные граждане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местных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иностранные граждане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договорам об образовании за счет средств физических и (или) юридических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иностранные граждане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8eaadb" w:themeFill="accent1" w:themeFillTint="99"/>
            <w:tcW w:w="145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ро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граммы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подготовки квалифицированных рабочих,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8eaadb" w:themeFill="accent1" w:themeFillTint="99"/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</w:tc>
      </w:tr>
      <w:tr>
        <w:tblPrEx/>
        <w:trPr>
          <w:gridAfter w:val="1"/>
        </w:trPr>
        <w:tc>
          <w:tcPr>
            <w:tcW w:w="1115" w:type="dxa"/>
            <w:textDirection w:val="lrTb"/>
            <w:noWrap w:val="false"/>
          </w:tcPr>
          <w:p>
            <w:pPr>
              <w:ind w:left="-113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дорожных и строительных машин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</w:tr>
      <w:tr>
        <w:tblPrEx/>
        <w:trPr>
          <w:gridAfter w:val="1"/>
          <w:trHeight w:val="880"/>
        </w:trPr>
        <w:tc>
          <w:tcPr>
            <w:tcW w:w="1115" w:type="dxa"/>
            <w:textDirection w:val="lrTb"/>
            <w:noWrap w:val="false"/>
          </w:tcPr>
          <w:p>
            <w:pPr>
              <w:ind w:left="-113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по ремонту и обслуживанию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</w:tr>
      <w:tr>
        <w:tblPrEx/>
        <w:trPr>
          <w:gridAfter w:val="1"/>
        </w:trPr>
        <w:tc>
          <w:tcPr>
            <w:tcW w:w="1115" w:type="dxa"/>
            <w:vMerge w:val="restart"/>
            <w:textDirection w:val="lrTb"/>
            <w:noWrap w:val="false"/>
          </w:tcPr>
          <w:p>
            <w:pPr>
              <w:ind w:left="-113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35.01.27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vMerge w:val="restart"/>
            <w:textDirection w:val="lrTb"/>
            <w:noWrap w:val="false"/>
          </w:tcPr>
          <w:p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сельскохозяйственного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1115" w:type="dxa"/>
            <w:textDirection w:val="lrTb"/>
            <w:noWrap w:val="false"/>
          </w:tcPr>
          <w:p>
            <w:pPr>
              <w:ind w:left="-113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35.01.13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Тракторист-машинист сельскохозяйственного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</w:tr>
      <w:tr>
        <w:tblPrEx/>
        <w:trPr>
          <w:gridAfter w:val="1"/>
        </w:trPr>
        <w:tc>
          <w:tcPr>
            <w:gridSpan w:val="2"/>
            <w:tcW w:w="4021" w:type="dxa"/>
            <w:textDirection w:val="lrTb"/>
            <w:noWrap w:val="false"/>
          </w:tcPr>
          <w:p>
            <w:pPr>
              <w:ind w:righ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251" w:type="dxa"/>
            <w:textDirection w:val="lrTb"/>
            <w:noWrap w:val="false"/>
          </w:tcPr>
          <w:p>
            <w:r/>
            <w:r/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8eaadb" w:themeFill="accent1" w:themeFillTint="99"/>
            <w:tcW w:w="145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подготовки специалистов среднего звена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8eaadb" w:themeFill="accent1" w:themeFillTint="99"/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  <w:trHeight w:val="968"/>
        </w:trPr>
        <w:tc>
          <w:tcPr>
            <w:tcW w:w="1115" w:type="dxa"/>
            <w:vAlign w:val="center"/>
            <w:vMerge w:val="restart"/>
            <w:textDirection w:val="lrTb"/>
            <w:noWrap w:val="false"/>
          </w:tcPr>
          <w:p>
            <w:pPr>
              <w:ind w:left="-113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23.02.04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06" w:type="dxa"/>
            <w:vAlign w:val="center"/>
            <w:vMerge w:val="restart"/>
            <w:textDirection w:val="lrTb"/>
            <w:noWrap w:val="false"/>
          </w:tcPr>
          <w:p>
            <w:pPr>
              <w:ind w:right="168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Техническая эксплуатация подъемно-транспортных, строительных, дорожных машин и оборудования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168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(по отраслям)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126 - 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</w:tr>
      <w:tr>
        <w:tblPrEx/>
        <w:trPr>
          <w:gridAfter w:val="1"/>
          <w:trHeight w:val="967"/>
        </w:trPr>
        <w:tc>
          <w:tcPr>
            <w:tcW w:w="1115" w:type="dxa"/>
            <w:vAlign w:val="center"/>
            <w:vMerge w:val="continue"/>
            <w:textDirection w:val="lrTb"/>
            <w:noWrap w:val="false"/>
          </w:tcPr>
          <w:p>
            <w:pPr>
              <w:ind w:left="-113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06" w:type="dxa"/>
            <w:vAlign w:val="center"/>
            <w:vMerge w:val="continue"/>
            <w:textDirection w:val="lrTb"/>
            <w:noWrap w:val="false"/>
          </w:tcPr>
          <w:p>
            <w:pPr>
              <w:ind w:right="168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21 - заочно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</w:tr>
      <w:tr>
        <w:tblPrEx/>
        <w:trPr>
          <w:gridAfter w:val="1"/>
        </w:trPr>
        <w:tc>
          <w:tcPr>
            <w:tcW w:w="1115" w:type="dxa"/>
            <w:vAlign w:val="center"/>
            <w:textDirection w:val="lrTb"/>
            <w:noWrap w:val="false"/>
          </w:tcPr>
          <w:p>
            <w:pPr>
              <w:ind w:left="-113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23.02.07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06" w:type="dxa"/>
            <w:vAlign w:val="center"/>
            <w:textDirection w:val="lrTb"/>
            <w:noWrap w:val="false"/>
          </w:tcPr>
          <w:p>
            <w:pPr>
              <w:ind w:right="168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Техническое обслуживание и ремонт двигателей, систем и агрегатов автомобилей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</w:tr>
      <w:tr>
        <w:tblPrEx/>
        <w:trPr>
          <w:gridAfter w:val="1"/>
        </w:trPr>
        <w:tc>
          <w:tcPr>
            <w:tcW w:w="1115" w:type="dxa"/>
            <w:vAlign w:val="center"/>
            <w:textDirection w:val="lrTb"/>
            <w:noWrap w:val="false"/>
          </w:tcPr>
          <w:p>
            <w:pPr>
              <w:ind w:left="-113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35.02.16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06" w:type="dxa"/>
            <w:vAlign w:val="center"/>
            <w:textDirection w:val="lrTb"/>
            <w:noWrap w:val="false"/>
          </w:tcPr>
          <w:p>
            <w:pPr>
              <w:ind w:right="168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Эксплуатация и ремонт сельскохозяйственной техники и оборудования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</w:tc>
      </w:tr>
      <w:tr>
        <w:tblPrEx/>
        <w:trPr>
          <w:gridAfter w:val="1"/>
          <w:trHeight w:val="271"/>
        </w:trPr>
        <w:tc>
          <w:tcPr>
            <w:tcW w:w="1115" w:type="dxa"/>
            <w:vAlign w:val="center"/>
            <w:vMerge w:val="restart"/>
            <w:textDirection w:val="lrTb"/>
            <w:noWrap w:val="false"/>
          </w:tcPr>
          <w:p>
            <w:pPr>
              <w:ind w:left="-113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40.02.02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06" w:type="dxa"/>
            <w:vAlign w:val="center"/>
            <w:vMerge w:val="restart"/>
            <w:textDirection w:val="lrTb"/>
            <w:noWrap w:val="false"/>
          </w:tcPr>
          <w:p>
            <w:pPr>
              <w:ind w:right="168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Правоохранительная деятельность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85 - 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271"/>
        </w:trPr>
        <w:tc>
          <w:tcPr>
            <w:tcW w:w="1115" w:type="dxa"/>
            <w:vAlign w:val="center"/>
            <w:vMerge w:val="continue"/>
            <w:textDirection w:val="lrTb"/>
            <w:noWrap w:val="false"/>
          </w:tcPr>
          <w:p>
            <w:pPr>
              <w:ind w:left="-113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06" w:type="dxa"/>
            <w:vAlign w:val="center"/>
            <w:vMerge w:val="continue"/>
            <w:textDirection w:val="lrTb"/>
            <w:noWrap w:val="false"/>
          </w:tcPr>
          <w:p>
            <w:pPr>
              <w:ind w:right="168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9 - заочно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4021" w:type="dxa"/>
            <w:vAlign w:val="center"/>
            <w:textDirection w:val="lrTb"/>
            <w:noWrap w:val="false"/>
          </w:tcPr>
          <w:p>
            <w:pPr>
              <w:ind w:right="168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10"/>
            <w:shd w:val="clear" w:color="auto" w:fill="8eaadb" w:themeFill="accent1" w:themeFillTint="99"/>
            <w:tcW w:w="161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профессионального обучения для инвалидов и лиц с ограниченными возможностями здоровья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1115" w:type="dxa"/>
            <w:textDirection w:val="lrTb"/>
            <w:noWrap w:val="false"/>
          </w:tcPr>
          <w:p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1115" w:type="dxa"/>
            <w:textDirection w:val="lrTb"/>
            <w:noWrap w:val="false"/>
          </w:tcPr>
          <w:p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Маляр строительный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51"/>
        </w:trPr>
        <w:tc>
          <w:tcPr>
            <w:gridSpan w:val="2"/>
            <w:tcW w:w="4021" w:type="dxa"/>
            <w:textDirection w:val="lrTb"/>
            <w:noWrap w:val="false"/>
          </w:tcPr>
          <w:p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4021" w:type="dxa"/>
            <w:vMerge w:val="restart"/>
            <w:textDirection w:val="lrTb"/>
            <w:noWrap w:val="false"/>
          </w:tcPr>
          <w:p>
            <w:pPr>
              <w:ind w:right="2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</w:p>
        </w:tc>
        <w:tc>
          <w:tcPr>
            <w:tcW w:w="141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 xml:space="preserve">622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</w:p>
        </w:tc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</w:p>
        </w:tc>
        <w:tc>
          <w:tcPr>
            <w:tcW w:w="15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</w:tbl>
    <w:p>
      <w:pPr>
        <w:jc w:val="center"/>
      </w:pPr>
      <w:r/>
      <w:r/>
    </w:p>
    <w:p>
      <w:pPr>
        <w:ind w:left="-284"/>
        <w:jc w:val="center"/>
        <w:spacing w:line="240" w:lineRule="auto"/>
        <w:rPr>
          <w:rFonts w:ascii="Times New Roman" w:hAnsi="Times New Roman" w:cs="Times New Roman"/>
          <w:b/>
          <w:color w:val="ff0000"/>
          <w:sz w:val="28"/>
          <w:szCs w:val="44"/>
        </w:rPr>
      </w:pPr>
      <w:r>
        <w:rPr>
          <w:rFonts w:ascii="Times New Roman" w:hAnsi="Times New Roman" w:cs="Times New Roman"/>
          <w:b/>
          <w:color w:val="ff0000"/>
          <w:sz w:val="28"/>
          <w:szCs w:val="44"/>
        </w:rPr>
        <w:t xml:space="preserve">ОБЩАЯ ЧИСЛЕННОСТЬ ОБУЧАЮЩИХСЯ </w:t>
      </w:r>
      <w:r>
        <w:rPr>
          <w:rFonts w:ascii="Times New Roman" w:hAnsi="Times New Roman" w:cs="Times New Roman"/>
          <w:b/>
          <w:color w:val="ff0000"/>
          <w:sz w:val="28"/>
          <w:szCs w:val="44"/>
        </w:rPr>
      </w:r>
      <w:r>
        <w:rPr>
          <w:rFonts w:ascii="Times New Roman" w:hAnsi="Times New Roman" w:cs="Times New Roman"/>
          <w:b/>
          <w:color w:val="ff0000"/>
          <w:sz w:val="28"/>
          <w:szCs w:val="44"/>
        </w:rPr>
      </w:r>
    </w:p>
    <w:p>
      <w:pPr>
        <w:ind w:left="-284"/>
        <w:jc w:val="center"/>
        <w:spacing w:line="240" w:lineRule="auto"/>
        <w:rPr>
          <w:rFonts w:ascii="Times New Roman" w:hAnsi="Times New Roman" w:cs="Times New Roman"/>
          <w:b/>
          <w:color w:val="ff0000"/>
          <w:sz w:val="28"/>
          <w:szCs w:val="44"/>
        </w:rPr>
      </w:pPr>
      <w:r>
        <w:rPr>
          <w:rFonts w:ascii="Times New Roman" w:hAnsi="Times New Roman" w:cs="Times New Roman"/>
          <w:b/>
          <w:color w:val="ff0000"/>
          <w:sz w:val="28"/>
          <w:szCs w:val="44"/>
        </w:rPr>
        <w:t xml:space="preserve">на 18.11.2024 </w:t>
      </w:r>
      <w:r>
        <w:rPr>
          <w:rFonts w:ascii="Times New Roman" w:hAnsi="Times New Roman" w:cs="Times New Roman"/>
          <w:b/>
          <w:color w:val="ff0000"/>
          <w:sz w:val="28"/>
          <w:szCs w:val="44"/>
        </w:rPr>
        <w:t xml:space="preserve">г. </w:t>
      </w:r>
      <w:r>
        <w:rPr>
          <w:rFonts w:ascii="Times New Roman" w:hAnsi="Times New Roman" w:cs="Times New Roman"/>
          <w:b/>
          <w:color w:val="ff0000"/>
          <w:sz w:val="28"/>
          <w:szCs w:val="44"/>
        </w:rPr>
      </w:r>
      <w:r>
        <w:rPr>
          <w:rFonts w:ascii="Times New Roman" w:hAnsi="Times New Roman" w:cs="Times New Roman"/>
          <w:b/>
          <w:color w:val="ff0000"/>
          <w:sz w:val="28"/>
          <w:szCs w:val="44"/>
        </w:rPr>
      </w:r>
    </w:p>
    <w:p>
      <w:pPr>
        <w:ind w:left="-284"/>
        <w:jc w:val="center"/>
        <w:spacing w:line="240" w:lineRule="auto"/>
        <w:rPr>
          <w:rFonts w:ascii="Times New Roman" w:hAnsi="Times New Roman" w:cs="Times New Roman"/>
          <w:b/>
          <w:color w:val="ff0000"/>
          <w:sz w:val="28"/>
          <w:szCs w:val="44"/>
        </w:rPr>
      </w:pPr>
      <w:r>
        <w:rPr>
          <w:rFonts w:ascii="Times New Roman" w:hAnsi="Times New Roman" w:cs="Times New Roman"/>
          <w:b/>
          <w:color w:val="ff0000"/>
          <w:sz w:val="28"/>
          <w:szCs w:val="44"/>
        </w:rPr>
        <w:t xml:space="preserve">775</w:t>
      </w:r>
      <w:r>
        <w:rPr>
          <w:rFonts w:ascii="Times New Roman" w:hAnsi="Times New Roman" w:cs="Times New Roman"/>
          <w:b/>
          <w:color w:val="ff0000"/>
          <w:sz w:val="28"/>
          <w:szCs w:val="44"/>
        </w:rPr>
        <w:t xml:space="preserve"> человека</w:t>
      </w:r>
      <w:r>
        <w:rPr>
          <w:rFonts w:ascii="Times New Roman" w:hAnsi="Times New Roman" w:cs="Times New Roman"/>
          <w:b/>
          <w:color w:val="ff0000"/>
          <w:sz w:val="28"/>
          <w:szCs w:val="44"/>
        </w:rPr>
        <w:t xml:space="preserve">, </w:t>
      </w:r>
      <w:bookmarkStart w:id="0" w:name="_GoBack"/>
      <w:r>
        <w:rPr>
          <w:sz w:val="28"/>
        </w:rPr>
      </w:r>
      <w:bookmarkEnd w:id="0"/>
      <w:r>
        <w:rPr>
          <w:rFonts w:ascii="Times New Roman" w:hAnsi="Times New Roman" w:cs="Times New Roman"/>
          <w:b/>
          <w:color w:val="ff0000"/>
          <w:sz w:val="28"/>
          <w:szCs w:val="44"/>
        </w:rPr>
      </w:r>
      <w:r>
        <w:rPr>
          <w:rFonts w:ascii="Times New Roman" w:hAnsi="Times New Roman" w:cs="Times New Roman"/>
          <w:b/>
          <w:color w:val="ff0000"/>
          <w:sz w:val="28"/>
          <w:szCs w:val="44"/>
        </w:rPr>
      </w:r>
    </w:p>
    <w:p>
      <w:pPr>
        <w:ind w:left="-284"/>
        <w:jc w:val="center"/>
        <w:spacing w:line="240" w:lineRule="auto"/>
        <w:rPr>
          <w:rFonts w:ascii="Times New Roman" w:hAnsi="Times New Roman" w:cs="Times New Roman"/>
          <w:b/>
          <w:color w:val="ff0000"/>
          <w:sz w:val="28"/>
          <w:szCs w:val="44"/>
        </w:rPr>
      </w:pPr>
      <w:r>
        <w:rPr>
          <w:rFonts w:ascii="Times New Roman" w:hAnsi="Times New Roman" w:cs="Times New Roman"/>
          <w:b/>
          <w:color w:val="ff0000"/>
          <w:sz w:val="28"/>
          <w:szCs w:val="44"/>
        </w:rPr>
        <w:t xml:space="preserve">в том числе иностранные граждане – 1 человек</w:t>
      </w:r>
      <w:r>
        <w:rPr>
          <w:rFonts w:ascii="Times New Roman" w:hAnsi="Times New Roman" w:cs="Times New Roman"/>
          <w:b/>
          <w:color w:val="ff0000"/>
          <w:sz w:val="28"/>
          <w:szCs w:val="44"/>
        </w:rPr>
      </w:r>
      <w:r>
        <w:rPr>
          <w:rFonts w:ascii="Times New Roman" w:hAnsi="Times New Roman" w:cs="Times New Roman"/>
          <w:b/>
          <w:color w:val="ff0000"/>
          <w:sz w:val="28"/>
          <w:szCs w:val="44"/>
        </w:rPr>
      </w:r>
    </w:p>
    <w:sectPr>
      <w:footnotePr/>
      <w:endnotePr/>
      <w:type w:val="nextPage"/>
      <w:pgSz w:w="16838" w:h="11906" w:orient="landscape"/>
      <w:pgMar w:top="568" w:right="142" w:bottom="567" w:left="42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mezenceva-sa</dc:creator>
  <cp:keywords/>
  <dc:description/>
  <cp:revision>9</cp:revision>
  <dcterms:created xsi:type="dcterms:W3CDTF">2021-11-26T05:54:00Z</dcterms:created>
  <dcterms:modified xsi:type="dcterms:W3CDTF">2024-11-18T11:20:26Z</dcterms:modified>
</cp:coreProperties>
</file>